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1E7" w:rsidRDefault="000B21E7" w:rsidP="000B21E7">
      <w:pPr>
        <w:jc w:val="center"/>
        <w:rPr>
          <w:b/>
          <w:sz w:val="26"/>
          <w:szCs w:val="26"/>
        </w:rPr>
      </w:pPr>
      <w:r>
        <w:rPr>
          <w:b/>
          <w:sz w:val="26"/>
          <w:szCs w:val="26"/>
        </w:rPr>
        <w:t>FORMULAR DE RAPORTARE</w:t>
      </w:r>
      <w:r>
        <w:rPr>
          <w:rStyle w:val="Referinnotdesubsol"/>
          <w:b/>
          <w:color w:val="auto"/>
          <w:sz w:val="26"/>
          <w:szCs w:val="26"/>
        </w:rPr>
        <w:footnoteReference w:id="1"/>
      </w:r>
    </w:p>
    <w:p w:rsidR="000B21E7" w:rsidRDefault="000B21E7" w:rsidP="000B21E7">
      <w:pPr>
        <w:jc w:val="both"/>
        <w:rPr>
          <w:color w:val="auto"/>
          <w:sz w:val="26"/>
          <w:szCs w:val="26"/>
        </w:rPr>
      </w:pPr>
      <w:r>
        <w:rPr>
          <w:b/>
          <w:sz w:val="26"/>
          <w:szCs w:val="26"/>
        </w:rPr>
        <w:br/>
      </w:r>
      <w:r>
        <w:rPr>
          <w:color w:val="auto"/>
          <w:sz w:val="26"/>
          <w:szCs w:val="26"/>
        </w:rPr>
        <w:t xml:space="preserve">Formularul de raportare, precum și eventualele probe furnizate în susținerea raportării, pot fi transmise pe adresa de e-mail </w:t>
      </w:r>
      <w:hyperlink r:id="rId6" w:history="1">
        <w:r w:rsidRPr="005E57AA">
          <w:rPr>
            <w:rStyle w:val="Hyperlink"/>
            <w:sz w:val="26"/>
            <w:szCs w:val="26"/>
          </w:rPr>
          <w:t>avertizor_GR@politia.local</w:t>
        </w:r>
      </w:hyperlink>
      <w:r>
        <w:rPr>
          <w:color w:val="auto"/>
          <w:sz w:val="26"/>
          <w:szCs w:val="26"/>
        </w:rPr>
        <w:t xml:space="preserve"> (</w:t>
      </w:r>
      <w:r w:rsidRPr="000B21E7">
        <w:rPr>
          <w:color w:val="auto"/>
          <w:sz w:val="26"/>
          <w:szCs w:val="26"/>
        </w:rPr>
        <w:t>pentru utilizatorii domeniului</w:t>
      </w:r>
      <w:r>
        <w:rPr>
          <w:color w:val="auto"/>
          <w:sz w:val="26"/>
          <w:szCs w:val="26"/>
        </w:rPr>
        <w:t xml:space="preserve">, </w:t>
      </w:r>
      <w:r>
        <w:rPr>
          <w:color w:val="auto"/>
          <w:sz w:val="26"/>
          <w:szCs w:val="26"/>
        </w:rPr>
        <w:t>dimensiunea maximă acceptată este de 10Mb)</w:t>
      </w:r>
      <w:r>
        <w:rPr>
          <w:color w:val="auto"/>
          <w:sz w:val="26"/>
          <w:szCs w:val="26"/>
        </w:rPr>
        <w:t xml:space="preserve">, </w:t>
      </w:r>
      <w:r w:rsidRPr="000B21E7">
        <w:rPr>
          <w:color w:val="auto"/>
          <w:sz w:val="26"/>
          <w:szCs w:val="26"/>
        </w:rPr>
        <w:t>respectiv</w:t>
      </w:r>
      <w:r>
        <w:rPr>
          <w:color w:val="auto"/>
          <w:sz w:val="26"/>
          <w:szCs w:val="26"/>
        </w:rPr>
        <w:t xml:space="preserve"> </w:t>
      </w:r>
      <w:hyperlink r:id="rId7" w:history="1">
        <w:r w:rsidRPr="00F95AA5">
          <w:rPr>
            <w:rStyle w:val="Hyperlink"/>
            <w:sz w:val="26"/>
            <w:szCs w:val="26"/>
          </w:rPr>
          <w:t>cabinet@gr.politiaromana.ro</w:t>
        </w:r>
      </w:hyperlink>
      <w:r>
        <w:rPr>
          <w:color w:val="auto"/>
          <w:sz w:val="26"/>
          <w:szCs w:val="26"/>
        </w:rPr>
        <w:t xml:space="preserve"> </w:t>
      </w:r>
      <w:r w:rsidRPr="000B21E7">
        <w:rPr>
          <w:color w:val="auto"/>
          <w:sz w:val="26"/>
          <w:szCs w:val="26"/>
        </w:rPr>
        <w:t xml:space="preserve"> (pentru utilizatorii externi)</w:t>
      </w:r>
      <w:r>
        <w:rPr>
          <w:color w:val="auto"/>
          <w:sz w:val="26"/>
          <w:szCs w:val="26"/>
        </w:rPr>
        <w:t xml:space="preserve"> </w:t>
      </w:r>
      <w:bookmarkStart w:id="0" w:name="_GoBack"/>
      <w:bookmarkEnd w:id="0"/>
      <w:r>
        <w:rPr>
          <w:color w:val="auto"/>
          <w:sz w:val="26"/>
          <w:szCs w:val="26"/>
        </w:rPr>
        <w:t xml:space="preserve">sau </w:t>
      </w:r>
      <w:proofErr w:type="spellStart"/>
      <w:r>
        <w:rPr>
          <w:color w:val="auto"/>
          <w:sz w:val="26"/>
          <w:szCs w:val="26"/>
        </w:rPr>
        <w:t>letric</w:t>
      </w:r>
      <w:proofErr w:type="spellEnd"/>
      <w:r>
        <w:rPr>
          <w:color w:val="auto"/>
          <w:sz w:val="26"/>
          <w:szCs w:val="26"/>
        </w:rPr>
        <w:t>, prin poștă, la adresa: sediul Inspectoratului de Poliție Județean Giurgiu, situat în Municipiul Giurgiu, Bd. C.F.R. nr. 9, județul Giurgiu.</w:t>
      </w:r>
    </w:p>
    <w:p w:rsidR="000B21E7" w:rsidRDefault="000B21E7" w:rsidP="000B21E7">
      <w:pPr>
        <w:jc w:val="both"/>
        <w:rPr>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394"/>
        <w:gridCol w:w="4883"/>
      </w:tblGrid>
      <w:tr w:rsidR="000B21E7" w:rsidRPr="00567DA9" w:rsidTr="004476A8">
        <w:tc>
          <w:tcPr>
            <w:tcW w:w="9854" w:type="dxa"/>
            <w:gridSpan w:val="3"/>
            <w:shd w:val="clear" w:color="auto" w:fill="auto"/>
            <w:vAlign w:val="center"/>
          </w:tcPr>
          <w:p w:rsidR="000B21E7" w:rsidRPr="00567DA9" w:rsidRDefault="000B21E7" w:rsidP="004476A8">
            <w:pPr>
              <w:rPr>
                <w:color w:val="auto"/>
                <w:sz w:val="26"/>
                <w:szCs w:val="26"/>
              </w:rPr>
            </w:pPr>
            <w:r w:rsidRPr="00567DA9">
              <w:rPr>
                <w:b/>
                <w:color w:val="auto"/>
                <w:sz w:val="26"/>
                <w:szCs w:val="26"/>
              </w:rPr>
              <w:t>DATE DESPRE AVERTIZORUL ÎN INTERES PUBLIC</w:t>
            </w:r>
            <w:r w:rsidRPr="00567DA9">
              <w:rPr>
                <w:rStyle w:val="Referinnotdesubsol"/>
                <w:b/>
                <w:color w:val="auto"/>
                <w:sz w:val="26"/>
                <w:szCs w:val="26"/>
              </w:rPr>
              <w:footnoteReference w:id="2"/>
            </w:r>
          </w:p>
        </w:tc>
      </w:tr>
      <w:tr w:rsidR="000B21E7" w:rsidRPr="00567DA9" w:rsidTr="004476A8">
        <w:tc>
          <w:tcPr>
            <w:tcW w:w="817" w:type="dxa"/>
            <w:shd w:val="clear" w:color="auto" w:fill="auto"/>
          </w:tcPr>
          <w:p w:rsidR="000B21E7" w:rsidRPr="00567DA9" w:rsidRDefault="000B21E7" w:rsidP="004476A8">
            <w:pPr>
              <w:jc w:val="center"/>
              <w:rPr>
                <w:color w:val="auto"/>
                <w:sz w:val="26"/>
                <w:szCs w:val="26"/>
              </w:rPr>
            </w:pPr>
            <w:r w:rsidRPr="00567DA9">
              <w:rPr>
                <w:color w:val="auto"/>
                <w:sz w:val="26"/>
                <w:szCs w:val="26"/>
              </w:rPr>
              <w:t>1.</w:t>
            </w:r>
          </w:p>
        </w:tc>
        <w:tc>
          <w:tcPr>
            <w:tcW w:w="3544" w:type="dxa"/>
            <w:shd w:val="clear" w:color="auto" w:fill="auto"/>
          </w:tcPr>
          <w:p w:rsidR="000B21E7" w:rsidRPr="00567DA9" w:rsidRDefault="000B21E7" w:rsidP="004476A8">
            <w:pPr>
              <w:rPr>
                <w:b/>
                <w:color w:val="auto"/>
                <w:sz w:val="26"/>
                <w:szCs w:val="26"/>
              </w:rPr>
            </w:pPr>
            <w:r w:rsidRPr="00567DA9">
              <w:rPr>
                <w:b/>
                <w:color w:val="auto"/>
                <w:sz w:val="26"/>
                <w:szCs w:val="26"/>
              </w:rPr>
              <w:t>Nume și prenume:</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shd w:val="clear" w:color="auto" w:fill="auto"/>
          </w:tcPr>
          <w:p w:rsidR="000B21E7" w:rsidRPr="00567DA9" w:rsidRDefault="000B21E7" w:rsidP="004476A8">
            <w:pPr>
              <w:jc w:val="center"/>
              <w:rPr>
                <w:color w:val="auto"/>
                <w:sz w:val="26"/>
                <w:szCs w:val="26"/>
              </w:rPr>
            </w:pPr>
            <w:r w:rsidRPr="00567DA9">
              <w:rPr>
                <w:color w:val="auto"/>
                <w:sz w:val="26"/>
                <w:szCs w:val="26"/>
              </w:rPr>
              <w:t>2.</w:t>
            </w:r>
          </w:p>
        </w:tc>
        <w:tc>
          <w:tcPr>
            <w:tcW w:w="3544" w:type="dxa"/>
            <w:shd w:val="clear" w:color="auto" w:fill="auto"/>
          </w:tcPr>
          <w:p w:rsidR="000B21E7" w:rsidRPr="00567DA9" w:rsidRDefault="000B21E7" w:rsidP="004476A8">
            <w:pPr>
              <w:rPr>
                <w:b/>
                <w:color w:val="auto"/>
                <w:sz w:val="26"/>
                <w:szCs w:val="26"/>
              </w:rPr>
            </w:pPr>
            <w:r w:rsidRPr="00567DA9">
              <w:rPr>
                <w:b/>
                <w:color w:val="auto"/>
                <w:sz w:val="26"/>
                <w:szCs w:val="26"/>
              </w:rPr>
              <w:t>Date de contact:</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vMerge w:val="restart"/>
            <w:shd w:val="clear" w:color="auto" w:fill="auto"/>
          </w:tcPr>
          <w:p w:rsidR="000B21E7" w:rsidRPr="00567DA9" w:rsidRDefault="000B21E7" w:rsidP="004476A8">
            <w:pPr>
              <w:jc w:val="center"/>
              <w:rPr>
                <w:color w:val="auto"/>
                <w:sz w:val="26"/>
                <w:szCs w:val="26"/>
              </w:rPr>
            </w:pPr>
            <w:r w:rsidRPr="00567DA9">
              <w:rPr>
                <w:color w:val="auto"/>
                <w:sz w:val="26"/>
                <w:szCs w:val="26"/>
              </w:rPr>
              <w:t>3.</w:t>
            </w:r>
          </w:p>
        </w:tc>
        <w:tc>
          <w:tcPr>
            <w:tcW w:w="9037" w:type="dxa"/>
            <w:gridSpan w:val="2"/>
            <w:shd w:val="clear" w:color="auto" w:fill="auto"/>
          </w:tcPr>
          <w:p w:rsidR="000B21E7" w:rsidRPr="00567DA9" w:rsidRDefault="000B21E7" w:rsidP="004476A8">
            <w:pPr>
              <w:rPr>
                <w:b/>
                <w:color w:val="auto"/>
                <w:sz w:val="26"/>
                <w:szCs w:val="26"/>
              </w:rPr>
            </w:pPr>
            <w:r w:rsidRPr="00567DA9">
              <w:rPr>
                <w:b/>
                <w:color w:val="auto"/>
                <w:sz w:val="26"/>
                <w:szCs w:val="26"/>
              </w:rPr>
              <w:t>Modalitatea de corespondență cu Inspectoratul General al Poliției Române</w:t>
            </w:r>
          </w:p>
          <w:p w:rsidR="000B21E7" w:rsidRPr="00567DA9" w:rsidRDefault="000B21E7" w:rsidP="004476A8">
            <w:pPr>
              <w:rPr>
                <w:color w:val="auto"/>
                <w:sz w:val="26"/>
                <w:szCs w:val="26"/>
              </w:rPr>
            </w:pPr>
            <w:r w:rsidRPr="00567DA9">
              <w:rPr>
                <w:color w:val="auto"/>
                <w:sz w:val="26"/>
                <w:szCs w:val="26"/>
              </w:rPr>
              <w:t xml:space="preserve">Obs.: pentru îndeplinirea obligației de transmitere a confirmării de primire, potrivit art. 10 alin.(1) lit.(b), sau de informare cu privire la modalitatea de soluționare a raportării, potrivit art. 13 alin.(2) lit.(f) </w:t>
            </w:r>
            <w:r w:rsidRPr="00567DA9">
              <w:rPr>
                <w:i/>
                <w:color w:val="auto"/>
                <w:sz w:val="26"/>
                <w:szCs w:val="26"/>
              </w:rPr>
              <w:t>se va completa una din primele trei opțiuni</w:t>
            </w:r>
          </w:p>
        </w:tc>
      </w:tr>
      <w:tr w:rsidR="000B21E7" w:rsidRPr="00567DA9" w:rsidTr="004476A8">
        <w:tc>
          <w:tcPr>
            <w:tcW w:w="817" w:type="dxa"/>
            <w:vMerge/>
            <w:shd w:val="clear" w:color="auto" w:fill="auto"/>
          </w:tcPr>
          <w:p w:rsidR="000B21E7" w:rsidRPr="00567DA9" w:rsidRDefault="000B21E7" w:rsidP="004476A8">
            <w:pPr>
              <w:jc w:val="center"/>
              <w:rPr>
                <w:color w:val="auto"/>
                <w:sz w:val="26"/>
                <w:szCs w:val="26"/>
              </w:rPr>
            </w:pP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 xml:space="preserve">a)Poștă, la adresa de </w:t>
            </w:r>
          </w:p>
          <w:p w:rsidR="000B21E7" w:rsidRPr="00567DA9" w:rsidRDefault="000B21E7" w:rsidP="004476A8">
            <w:pPr>
              <w:rPr>
                <w:color w:val="auto"/>
                <w:sz w:val="26"/>
                <w:szCs w:val="26"/>
              </w:rPr>
            </w:pPr>
            <w:r w:rsidRPr="00567DA9">
              <w:rPr>
                <w:color w:val="auto"/>
                <w:sz w:val="26"/>
                <w:szCs w:val="26"/>
              </w:rPr>
              <w:t>corespondență:</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vMerge/>
            <w:shd w:val="clear" w:color="auto" w:fill="auto"/>
          </w:tcPr>
          <w:p w:rsidR="000B21E7" w:rsidRPr="00567DA9" w:rsidRDefault="000B21E7" w:rsidP="004476A8">
            <w:pPr>
              <w:jc w:val="center"/>
              <w:rPr>
                <w:color w:val="auto"/>
                <w:sz w:val="26"/>
                <w:szCs w:val="26"/>
              </w:rPr>
            </w:pP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b)E-mail:</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vMerge/>
            <w:shd w:val="clear" w:color="auto" w:fill="auto"/>
          </w:tcPr>
          <w:p w:rsidR="000B21E7" w:rsidRPr="00567DA9" w:rsidRDefault="000B21E7" w:rsidP="004476A8">
            <w:pPr>
              <w:jc w:val="center"/>
              <w:rPr>
                <w:color w:val="auto"/>
                <w:sz w:val="26"/>
                <w:szCs w:val="26"/>
              </w:rPr>
            </w:pP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c)Telefon</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vMerge/>
            <w:shd w:val="clear" w:color="auto" w:fill="auto"/>
          </w:tcPr>
          <w:p w:rsidR="000B21E7" w:rsidRPr="00567DA9" w:rsidRDefault="000B21E7" w:rsidP="004476A8">
            <w:pPr>
              <w:jc w:val="center"/>
              <w:rPr>
                <w:color w:val="auto"/>
                <w:sz w:val="26"/>
                <w:szCs w:val="26"/>
              </w:rPr>
            </w:pP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d)Nu doresc să fiu contactat:</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9854" w:type="dxa"/>
            <w:gridSpan w:val="3"/>
            <w:shd w:val="clear" w:color="auto" w:fill="auto"/>
          </w:tcPr>
          <w:p w:rsidR="000B21E7" w:rsidRPr="00567DA9" w:rsidRDefault="000B21E7" w:rsidP="004476A8">
            <w:pPr>
              <w:rPr>
                <w:b/>
                <w:color w:val="auto"/>
                <w:sz w:val="26"/>
                <w:szCs w:val="26"/>
              </w:rPr>
            </w:pPr>
            <w:r w:rsidRPr="00567DA9">
              <w:rPr>
                <w:b/>
                <w:color w:val="auto"/>
                <w:sz w:val="26"/>
                <w:szCs w:val="26"/>
              </w:rPr>
              <w:t>CONȚINUTUL RAPORTĂRII PRIVIND ÎNCĂLCĂRI ALE LEGII:</w:t>
            </w:r>
          </w:p>
        </w:tc>
      </w:tr>
      <w:tr w:rsidR="000B21E7" w:rsidRPr="00567DA9" w:rsidTr="004476A8">
        <w:tc>
          <w:tcPr>
            <w:tcW w:w="817" w:type="dxa"/>
            <w:shd w:val="clear" w:color="auto" w:fill="auto"/>
          </w:tcPr>
          <w:p w:rsidR="000B21E7" w:rsidRPr="00567DA9" w:rsidRDefault="000B21E7" w:rsidP="004476A8">
            <w:pPr>
              <w:jc w:val="center"/>
              <w:rPr>
                <w:color w:val="auto"/>
                <w:sz w:val="26"/>
                <w:szCs w:val="26"/>
              </w:rPr>
            </w:pPr>
            <w:r w:rsidRPr="00567DA9">
              <w:rPr>
                <w:color w:val="auto"/>
                <w:sz w:val="26"/>
                <w:szCs w:val="26"/>
              </w:rPr>
              <w:t>4.</w:t>
            </w: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Denumirea entității care face obiectul raportării:</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shd w:val="clear" w:color="auto" w:fill="auto"/>
          </w:tcPr>
          <w:p w:rsidR="000B21E7" w:rsidRPr="00567DA9" w:rsidRDefault="000B21E7" w:rsidP="004476A8">
            <w:pPr>
              <w:jc w:val="center"/>
              <w:rPr>
                <w:color w:val="auto"/>
                <w:sz w:val="26"/>
                <w:szCs w:val="26"/>
              </w:rPr>
            </w:pPr>
            <w:r w:rsidRPr="00567DA9">
              <w:rPr>
                <w:color w:val="auto"/>
                <w:sz w:val="26"/>
                <w:szCs w:val="26"/>
              </w:rPr>
              <w:t>5.</w:t>
            </w: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Persoanele vizate (dacă sunt cunoscute)</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shd w:val="clear" w:color="auto" w:fill="auto"/>
          </w:tcPr>
          <w:p w:rsidR="000B21E7" w:rsidRPr="00567DA9" w:rsidRDefault="000B21E7" w:rsidP="004476A8">
            <w:pPr>
              <w:jc w:val="center"/>
              <w:rPr>
                <w:color w:val="auto"/>
                <w:sz w:val="26"/>
                <w:szCs w:val="26"/>
              </w:rPr>
            </w:pPr>
            <w:r w:rsidRPr="00567DA9">
              <w:rPr>
                <w:color w:val="auto"/>
                <w:sz w:val="26"/>
                <w:szCs w:val="26"/>
              </w:rPr>
              <w:t>6.</w:t>
            </w: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Persoanele care pot confirma întâmplările/faptele semnalate (dacă există)</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shd w:val="clear" w:color="auto" w:fill="auto"/>
          </w:tcPr>
          <w:p w:rsidR="000B21E7" w:rsidRPr="00567DA9" w:rsidRDefault="000B21E7" w:rsidP="004476A8">
            <w:pPr>
              <w:jc w:val="center"/>
              <w:rPr>
                <w:color w:val="auto"/>
                <w:sz w:val="26"/>
                <w:szCs w:val="26"/>
              </w:rPr>
            </w:pPr>
            <w:r w:rsidRPr="00567DA9">
              <w:rPr>
                <w:color w:val="auto"/>
                <w:sz w:val="26"/>
                <w:szCs w:val="26"/>
              </w:rPr>
              <w:t>7.</w:t>
            </w: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Contextul profesional în care au fost obținute informațiile</w:t>
            </w:r>
            <w:r w:rsidRPr="00567DA9">
              <w:rPr>
                <w:rStyle w:val="Referinnotdesubsol"/>
                <w:color w:val="auto"/>
                <w:sz w:val="26"/>
                <w:szCs w:val="26"/>
              </w:rPr>
              <w:footnoteReference w:id="3"/>
            </w:r>
            <w:r w:rsidRPr="00567DA9">
              <w:rPr>
                <w:color w:val="auto"/>
                <w:sz w:val="26"/>
                <w:szCs w:val="26"/>
              </w:rPr>
              <w:t>:</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shd w:val="clear" w:color="auto" w:fill="auto"/>
          </w:tcPr>
          <w:p w:rsidR="000B21E7" w:rsidRPr="00567DA9" w:rsidRDefault="000B21E7" w:rsidP="004476A8">
            <w:pPr>
              <w:jc w:val="center"/>
              <w:rPr>
                <w:color w:val="auto"/>
                <w:sz w:val="26"/>
                <w:szCs w:val="26"/>
              </w:rPr>
            </w:pPr>
            <w:r w:rsidRPr="00567DA9">
              <w:rPr>
                <w:color w:val="auto"/>
                <w:sz w:val="26"/>
                <w:szCs w:val="26"/>
              </w:rPr>
              <w:t>8.</w:t>
            </w: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Descrierea detaliată a faptei/faptelor susceptibile să constituie încălcări ale legii</w:t>
            </w:r>
            <w:r w:rsidRPr="00567DA9">
              <w:rPr>
                <w:rStyle w:val="Referinnotdesubsol"/>
                <w:color w:val="auto"/>
                <w:sz w:val="26"/>
                <w:szCs w:val="26"/>
              </w:rPr>
              <w:footnoteReference w:id="4"/>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shd w:val="clear" w:color="auto" w:fill="auto"/>
          </w:tcPr>
          <w:p w:rsidR="000B21E7" w:rsidRPr="00567DA9" w:rsidRDefault="000B21E7" w:rsidP="004476A8">
            <w:pPr>
              <w:jc w:val="center"/>
              <w:rPr>
                <w:color w:val="auto"/>
                <w:sz w:val="26"/>
                <w:szCs w:val="26"/>
              </w:rPr>
            </w:pPr>
            <w:r w:rsidRPr="00567DA9">
              <w:rPr>
                <w:color w:val="auto"/>
                <w:sz w:val="26"/>
                <w:szCs w:val="26"/>
              </w:rPr>
              <w:lastRenderedPageBreak/>
              <w:t>9.</w:t>
            </w: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Ce prevederi legale apreciați că au fost încălcate (dacă sunt cunoscute)?</w:t>
            </w:r>
          </w:p>
        </w:tc>
        <w:tc>
          <w:tcPr>
            <w:tcW w:w="5493" w:type="dxa"/>
            <w:shd w:val="clear" w:color="auto" w:fill="auto"/>
          </w:tcPr>
          <w:p w:rsidR="000B21E7" w:rsidRPr="00567DA9" w:rsidRDefault="000B21E7" w:rsidP="004476A8">
            <w:pPr>
              <w:jc w:val="center"/>
              <w:rPr>
                <w:color w:val="auto"/>
                <w:sz w:val="26"/>
                <w:szCs w:val="26"/>
              </w:rPr>
            </w:pPr>
          </w:p>
        </w:tc>
      </w:tr>
      <w:tr w:rsidR="000B21E7" w:rsidRPr="00567DA9" w:rsidTr="004476A8">
        <w:tc>
          <w:tcPr>
            <w:tcW w:w="817" w:type="dxa"/>
            <w:shd w:val="clear" w:color="auto" w:fill="auto"/>
          </w:tcPr>
          <w:p w:rsidR="000B21E7" w:rsidRPr="00567DA9" w:rsidRDefault="000B21E7" w:rsidP="004476A8">
            <w:pPr>
              <w:jc w:val="center"/>
              <w:rPr>
                <w:color w:val="auto"/>
                <w:sz w:val="26"/>
                <w:szCs w:val="26"/>
              </w:rPr>
            </w:pPr>
            <w:r w:rsidRPr="00567DA9">
              <w:rPr>
                <w:color w:val="auto"/>
                <w:sz w:val="26"/>
                <w:szCs w:val="26"/>
              </w:rPr>
              <w:t>10.</w:t>
            </w:r>
          </w:p>
        </w:tc>
        <w:tc>
          <w:tcPr>
            <w:tcW w:w="3544" w:type="dxa"/>
            <w:shd w:val="clear" w:color="auto" w:fill="auto"/>
          </w:tcPr>
          <w:p w:rsidR="000B21E7" w:rsidRPr="00567DA9" w:rsidRDefault="000B21E7" w:rsidP="004476A8">
            <w:pPr>
              <w:rPr>
                <w:color w:val="auto"/>
                <w:sz w:val="26"/>
                <w:szCs w:val="26"/>
              </w:rPr>
            </w:pPr>
            <w:r w:rsidRPr="00567DA9">
              <w:rPr>
                <w:color w:val="auto"/>
                <w:sz w:val="26"/>
                <w:szCs w:val="26"/>
              </w:rPr>
              <w:t>Lista documentelor care se transmit cu titlu de probă în susținerea raportării</w:t>
            </w:r>
          </w:p>
        </w:tc>
        <w:tc>
          <w:tcPr>
            <w:tcW w:w="5493" w:type="dxa"/>
            <w:shd w:val="clear" w:color="auto" w:fill="auto"/>
          </w:tcPr>
          <w:p w:rsidR="000B21E7" w:rsidRPr="00567DA9" w:rsidRDefault="000B21E7" w:rsidP="004476A8">
            <w:pPr>
              <w:jc w:val="center"/>
              <w:rPr>
                <w:color w:val="auto"/>
                <w:sz w:val="26"/>
                <w:szCs w:val="26"/>
              </w:rPr>
            </w:pPr>
          </w:p>
        </w:tc>
      </w:tr>
    </w:tbl>
    <w:p w:rsidR="000B21E7" w:rsidRDefault="000B21E7" w:rsidP="000B21E7">
      <w:pPr>
        <w:jc w:val="both"/>
        <w:rPr>
          <w:color w:val="auto"/>
          <w:sz w:val="26"/>
          <w:szCs w:val="26"/>
        </w:rPr>
      </w:pPr>
      <w:r>
        <w:rPr>
          <w:color w:val="auto"/>
          <w:sz w:val="26"/>
          <w:szCs w:val="26"/>
        </w:rPr>
        <w:t>Am luat la cunoștință despre prelucrarea datelor cu caracter personal, potrivit dispozițiilor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din Legea nr. 363/2018 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 precum și privind libera circulație a acestor date și dispozițiilor din 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în vederea procesării raportării mele.</w:t>
      </w:r>
    </w:p>
    <w:p w:rsidR="000B21E7" w:rsidRDefault="000B21E7" w:rsidP="000B21E7">
      <w:pPr>
        <w:jc w:val="both"/>
        <w:rPr>
          <w:color w:val="auto"/>
          <w:sz w:val="26"/>
          <w:szCs w:val="26"/>
        </w:rPr>
      </w:pPr>
      <w:r>
        <w:rPr>
          <w:color w:val="auto"/>
          <w:sz w:val="26"/>
          <w:szCs w:val="26"/>
        </w:rPr>
        <w:t>Retragerea  consimțământului PDCP (prelucrarea datelor cu caracter personal) este oricând posibilă prin transmiterea unei cereri întocmită în formă scrisă, datată și semnată care poate fi remisă operatorului de date cu caracter personal, prin intermediul serviciilor poștale, prin depunere personală la sediul I.P.J. Giurgiu, prin fax sau prin e-mail.</w:t>
      </w:r>
    </w:p>
    <w:p w:rsidR="000B21E7" w:rsidRDefault="000B21E7" w:rsidP="000B21E7">
      <w:pPr>
        <w:jc w:val="both"/>
        <w:rPr>
          <w:color w:val="auto"/>
          <w:sz w:val="26"/>
          <w:szCs w:val="26"/>
        </w:rPr>
      </w:pPr>
    </w:p>
    <w:p w:rsidR="000B21E7" w:rsidRDefault="000B21E7" w:rsidP="000B21E7">
      <w:pPr>
        <w:jc w:val="both"/>
        <w:rPr>
          <w:color w:val="auto"/>
          <w:sz w:val="26"/>
          <w:szCs w:val="26"/>
        </w:rPr>
      </w:pPr>
      <w:r>
        <w:rPr>
          <w:color w:val="auto"/>
          <w:sz w:val="26"/>
          <w:szCs w:val="26"/>
        </w:rPr>
        <w:t>DATA</w:t>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t>SEMNĂTURA</w:t>
      </w:r>
      <w:r>
        <w:rPr>
          <w:rStyle w:val="Referinnotdesubsol"/>
          <w:color w:val="auto"/>
          <w:sz w:val="26"/>
          <w:szCs w:val="26"/>
        </w:rPr>
        <w:footnoteReference w:id="5"/>
      </w:r>
    </w:p>
    <w:p w:rsidR="0025610B" w:rsidRDefault="0025610B"/>
    <w:sectPr w:rsidR="002561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1E7" w:rsidRDefault="000B21E7" w:rsidP="000B21E7">
      <w:r>
        <w:separator/>
      </w:r>
    </w:p>
  </w:endnote>
  <w:endnote w:type="continuationSeparator" w:id="0">
    <w:p w:rsidR="000B21E7" w:rsidRDefault="000B21E7" w:rsidP="000B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1E7" w:rsidRDefault="000B21E7" w:rsidP="000B21E7">
      <w:r>
        <w:separator/>
      </w:r>
    </w:p>
  </w:footnote>
  <w:footnote w:type="continuationSeparator" w:id="0">
    <w:p w:rsidR="000B21E7" w:rsidRDefault="000B21E7" w:rsidP="000B21E7">
      <w:r>
        <w:continuationSeparator/>
      </w:r>
    </w:p>
  </w:footnote>
  <w:footnote w:id="1">
    <w:p w:rsidR="000B21E7" w:rsidRPr="007B440A" w:rsidRDefault="000B21E7" w:rsidP="000B21E7">
      <w:pPr>
        <w:pStyle w:val="Textnotdesubsol"/>
        <w:jc w:val="both"/>
        <w:rPr>
          <w:sz w:val="18"/>
          <w:szCs w:val="18"/>
        </w:rPr>
      </w:pPr>
      <w:r w:rsidRPr="002D042E">
        <w:rPr>
          <w:rStyle w:val="Referinnotdesubsol"/>
        </w:rPr>
        <w:footnoteRef/>
      </w:r>
      <w:r w:rsidRPr="007B440A">
        <w:rPr>
          <w:sz w:val="18"/>
          <w:szCs w:val="18"/>
        </w:rPr>
        <w:t xml:space="preserve"> Privind nerespectarea dispozițiilor legale ale actelor normative în sensul Legii nr. 361/2022 privind protecția avertizorilor de interes public</w:t>
      </w:r>
    </w:p>
  </w:footnote>
  <w:footnote w:id="2">
    <w:p w:rsidR="000B21E7" w:rsidRDefault="000B21E7" w:rsidP="000B21E7">
      <w:pPr>
        <w:pStyle w:val="Textnotdesubsol"/>
        <w:jc w:val="both"/>
      </w:pPr>
      <w:r>
        <w:rPr>
          <w:rStyle w:val="Referinnotdesubsol"/>
        </w:rPr>
        <w:footnoteRef/>
      </w:r>
      <w:r>
        <w:t xml:space="preserve"> </w:t>
      </w:r>
      <w:r>
        <w:t>Raportarea care nu cuprinde numele, prenumele, datele de contact valide sau semnătura avertizorului în interes public se examinează și se soluționează în măsura în care conține indicii temeinice referitoare la încălcări ale legii – similar raportărilor anonime.</w:t>
      </w:r>
    </w:p>
  </w:footnote>
  <w:footnote w:id="3">
    <w:p w:rsidR="000B21E7" w:rsidRDefault="000B21E7" w:rsidP="000B21E7">
      <w:pPr>
        <w:pStyle w:val="Textnotdesubsol"/>
        <w:jc w:val="both"/>
      </w:pPr>
      <w:r>
        <w:rPr>
          <w:rStyle w:val="Referinnotdesubsol"/>
        </w:rPr>
        <w:footnoteRef/>
      </w:r>
      <w:r>
        <w:t xml:space="preserve"> </w:t>
      </w:r>
      <w:r w:rsidRPr="000258E0">
        <w:rPr>
          <w:i/>
        </w:rPr>
        <w:t>Informații referitoare la încălcări ale legii</w:t>
      </w:r>
      <w:r>
        <w:t xml:space="preserve"> – informații, inclusiv suspiciuni rezonabile, cu privire la încălcări efective sau potențiale ale legii, care s-au produs sau care sunt susceptibile să se producă în cadrul autorităților, instituțiilor publice sau în cadrul altor persoane juridice de drept public, precum și în cadrul persoanelor juridice de drept privat, în care lucrează sau a lucrat avertizorul în interes public sau cu care acesta este sau a fost în contact prin intermediul activității sale, precum și informațiile cu privire la încercări de a ascunde astfel de încălcări.</w:t>
      </w:r>
    </w:p>
  </w:footnote>
  <w:footnote w:id="4">
    <w:p w:rsidR="000B21E7" w:rsidRDefault="000B21E7" w:rsidP="000B21E7">
      <w:pPr>
        <w:pStyle w:val="Textnotdesubsol"/>
        <w:jc w:val="both"/>
      </w:pPr>
      <w:r>
        <w:rPr>
          <w:rStyle w:val="Referinnotdesubsol"/>
        </w:rPr>
        <w:footnoteRef/>
      </w:r>
      <w:r>
        <w:t xml:space="preserve"> </w:t>
      </w:r>
      <w:r w:rsidRPr="002B7591">
        <w:rPr>
          <w:i/>
        </w:rPr>
        <w:t>Încălcări ale legii</w:t>
      </w:r>
      <w:r>
        <w:t>- fapte care constau într-o acțiune sau inacțiune care constituie nerespectări ale dispozițiilor legale, care privesc domenii cum ar fi: achizițiile publice; serviciile, produsele și piețele financiare, precum și prevenirea spălării banilor și a finanțării terorismului; siguranța și conformitatea produselor ; siguranța transportului; protecția mediului; protecția radiologică și siguranța nucleară; siguranța alimentelor și a hranei pentru animale, sănătatea și bunăstarea animalelor; sănătatea publică; protecția consumatorilor; protecția vieții private și a datelor cu caracter personal și a securității rețelelor și sistemelor informatice, prevăzute în anexa nr. 2, încălcări care aduc atingere intereselor financiare ale uniunii Europene, astfel cum sunt menționate la art. 325 din Tratatul privind funcționarea Uniunii Europene și cum sunt detaliate în măsurile relevante ale Uniunii Europene; încălcări referitoare la piața internă, menționate la art. 26 alin. (2) din Tratatul privind funcționarea Uniunii Europene, inclusiv încălcări ale normelor Uniunii Europene în materie de concurență și de ajutoare de stat, precum și încălcări referitoare la piața internă în ceea ce privește actele care încalcă normele privind impozitarea societăților sau mecanismele al căror scop este obținerea unui avantaj fiscal ce contravine obiectului sau scopului dreptului aplicabil în materie de impozitare a societăților, ce reprezintă abateri disciplinare, contravenții sau infracțiuni, sau care contravin obiectului sau scopului legii.</w:t>
      </w:r>
    </w:p>
  </w:footnote>
  <w:footnote w:id="5">
    <w:p w:rsidR="000B21E7" w:rsidRDefault="000B21E7" w:rsidP="000B21E7">
      <w:pPr>
        <w:pStyle w:val="Textnotdesubsol"/>
      </w:pPr>
      <w:r>
        <w:rPr>
          <w:rStyle w:val="Referinnotdesubsol"/>
        </w:rPr>
        <w:footnoteRef/>
      </w:r>
      <w:r>
        <w:t xml:space="preserve"> </w:t>
      </w:r>
      <w:r>
        <w:t>Documentul poate fi semnat electronic și/sau olograf, după caz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2B"/>
    <w:rsid w:val="000B21E7"/>
    <w:rsid w:val="0025610B"/>
    <w:rsid w:val="004B412B"/>
    <w:rsid w:val="00ED7A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0281D-5A38-44E2-803C-6DD14461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1E7"/>
    <w:pPr>
      <w:spacing w:after="0" w:line="240" w:lineRule="auto"/>
    </w:pPr>
    <w:rPr>
      <w:rFonts w:ascii="Times New Roman" w:eastAsia="Calibri" w:hAnsi="Times New Roman" w:cs="Times New Roman"/>
      <w:color w:val="000000"/>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0B21E7"/>
    <w:rPr>
      <w:sz w:val="20"/>
      <w:szCs w:val="20"/>
      <w:lang w:eastAsia="x-none"/>
    </w:rPr>
  </w:style>
  <w:style w:type="character" w:customStyle="1" w:styleId="TextnotdesubsolCaracter">
    <w:name w:val="Text notă de subsol Caracter"/>
    <w:basedOn w:val="Fontdeparagrafimplicit"/>
    <w:link w:val="Textnotdesubsol"/>
    <w:uiPriority w:val="99"/>
    <w:semiHidden/>
    <w:rsid w:val="000B21E7"/>
    <w:rPr>
      <w:rFonts w:ascii="Times New Roman" w:eastAsia="Calibri" w:hAnsi="Times New Roman" w:cs="Times New Roman"/>
      <w:color w:val="000000"/>
      <w:sz w:val="20"/>
      <w:szCs w:val="20"/>
      <w:lang w:eastAsia="x-none"/>
    </w:rPr>
  </w:style>
  <w:style w:type="character" w:styleId="Referinnotdesubsol">
    <w:name w:val="footnote reference"/>
    <w:uiPriority w:val="99"/>
    <w:semiHidden/>
    <w:unhideWhenUsed/>
    <w:rsid w:val="000B21E7"/>
    <w:rPr>
      <w:vertAlign w:val="superscript"/>
    </w:rPr>
  </w:style>
  <w:style w:type="character" w:styleId="Hyperlink">
    <w:name w:val="Hyperlink"/>
    <w:uiPriority w:val="99"/>
    <w:unhideWhenUsed/>
    <w:rsid w:val="000B21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binet@gr.politiaroman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vertizor_GR@politia.loc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2780</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suta cristian GR</dc:creator>
  <cp:keywords/>
  <dc:description/>
  <cp:lastModifiedBy>suta cristian GR</cp:lastModifiedBy>
  <cp:revision>3</cp:revision>
  <dcterms:created xsi:type="dcterms:W3CDTF">2025-09-03T09:23:00Z</dcterms:created>
  <dcterms:modified xsi:type="dcterms:W3CDTF">2025-09-03T09:28:00Z</dcterms:modified>
</cp:coreProperties>
</file>